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6836" w14:textId="77777777" w:rsidR="00A05FE5" w:rsidRDefault="0072291C" w:rsidP="0072291C">
      <w:r w:rsidRPr="00FA2B5F">
        <w:rPr>
          <w:rFonts w:ascii="Verdana Pro" w:hAnsi="Verdana Pro"/>
          <w:noProof/>
          <w:lang w:eastAsia="de-DE"/>
        </w:rPr>
        <w:drawing>
          <wp:inline distT="0" distB="0" distL="0" distR="0" wp14:anchorId="2A09CB6C" wp14:editId="54CDC8E6">
            <wp:extent cx="2244410" cy="789709"/>
            <wp:effectExtent l="0" t="0" r="381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574" cy="79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</wp:inline>
        </w:drawing>
      </w:r>
    </w:p>
    <w:p w14:paraId="03EFA18F" w14:textId="77777777" w:rsidR="0072291C" w:rsidRDefault="0072291C" w:rsidP="0072291C"/>
    <w:p w14:paraId="1B15986F" w14:textId="77777777" w:rsidR="0072291C" w:rsidRDefault="0072291C" w:rsidP="0072291C"/>
    <w:p w14:paraId="2685A546" w14:textId="21B09D0D" w:rsidR="0072291C" w:rsidRDefault="00BA1BD6" w:rsidP="007229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Berlin, den </w:t>
      </w:r>
      <w:r w:rsidR="002342B3">
        <w:t>11</w:t>
      </w:r>
      <w:r>
        <w:t>.1</w:t>
      </w:r>
      <w:r w:rsidR="002342B3">
        <w:t>2</w:t>
      </w:r>
      <w:r>
        <w:t>.2023</w:t>
      </w:r>
    </w:p>
    <w:p w14:paraId="7022329D" w14:textId="77777777" w:rsidR="0072291C" w:rsidRDefault="0072291C" w:rsidP="0072291C"/>
    <w:p w14:paraId="6AFC961C" w14:textId="77777777" w:rsidR="0072291C" w:rsidRPr="0072291C" w:rsidRDefault="0072291C" w:rsidP="0072291C">
      <w:pPr>
        <w:rPr>
          <w:b/>
        </w:rPr>
      </w:pPr>
      <w:r w:rsidRPr="0072291C">
        <w:rPr>
          <w:b/>
        </w:rPr>
        <w:t>Update Osteoporose 2024</w:t>
      </w:r>
    </w:p>
    <w:p w14:paraId="7717B1B8" w14:textId="77777777" w:rsidR="0072291C" w:rsidRDefault="0072291C" w:rsidP="0072291C"/>
    <w:p w14:paraId="6309E24B" w14:textId="77777777" w:rsidR="0072291C" w:rsidRPr="0072291C" w:rsidRDefault="0072291C" w:rsidP="0072291C">
      <w:pPr>
        <w:rPr>
          <w:b/>
        </w:rPr>
      </w:pPr>
      <w:r w:rsidRPr="0072291C">
        <w:rPr>
          <w:b/>
        </w:rPr>
        <w:t>31.05.2024       18:00 Uhr</w:t>
      </w:r>
    </w:p>
    <w:p w14:paraId="0D3B3A3B" w14:textId="77777777" w:rsidR="0072291C" w:rsidRDefault="0072291C" w:rsidP="0072291C">
      <w:r>
        <w:t xml:space="preserve">Hessische Landesvertretung          </w:t>
      </w:r>
    </w:p>
    <w:p w14:paraId="34359AE3" w14:textId="77777777" w:rsidR="0072291C" w:rsidRDefault="0072291C" w:rsidP="0072291C">
      <w:r>
        <w:t xml:space="preserve">In den Ministergärten 5      </w:t>
      </w:r>
    </w:p>
    <w:p w14:paraId="0783CBD0" w14:textId="77777777" w:rsidR="0072291C" w:rsidRDefault="0072291C" w:rsidP="0072291C">
      <w:r>
        <w:t>10117 Berlin</w:t>
      </w:r>
    </w:p>
    <w:p w14:paraId="662E99C4" w14:textId="77777777" w:rsidR="0072291C" w:rsidRDefault="0072291C" w:rsidP="0072291C"/>
    <w:p w14:paraId="24CDDEAE" w14:textId="77777777" w:rsidR="0072291C" w:rsidRDefault="0072291C" w:rsidP="0072291C"/>
    <w:p w14:paraId="08E470F6" w14:textId="77777777" w:rsidR="0072291C" w:rsidRPr="0072291C" w:rsidRDefault="0072291C" w:rsidP="0072291C">
      <w:pPr>
        <w:rPr>
          <w:b/>
        </w:rPr>
      </w:pPr>
      <w:r w:rsidRPr="0072291C">
        <w:rPr>
          <w:b/>
        </w:rPr>
        <w:t xml:space="preserve">Vorläufiges Programm </w:t>
      </w:r>
    </w:p>
    <w:p w14:paraId="3ECE463D" w14:textId="77777777" w:rsidR="0072291C" w:rsidRDefault="0072291C" w:rsidP="0072291C"/>
    <w:p w14:paraId="0A6966D5" w14:textId="77777777" w:rsidR="0072291C" w:rsidRPr="00FA2B5F" w:rsidRDefault="0072291C" w:rsidP="0072291C">
      <w:pPr>
        <w:rPr>
          <w:rFonts w:ascii="Verdana Pro" w:hAnsi="Verdana Pro" w:cs="Arial"/>
          <w:b/>
          <w:bCs/>
          <w:noProof/>
          <w:szCs w:val="20"/>
        </w:rPr>
      </w:pPr>
      <w:r w:rsidRPr="00FA2B5F">
        <w:rPr>
          <w:rFonts w:ascii="Verdana Pro" w:hAnsi="Verdana Pro" w:cs="Arial"/>
          <w:b/>
          <w:bCs/>
          <w:noProof/>
          <w:szCs w:val="20"/>
        </w:rPr>
        <w:t>1</w:t>
      </w:r>
      <w:r>
        <w:rPr>
          <w:rFonts w:ascii="Verdana Pro" w:hAnsi="Verdana Pro" w:cs="Arial"/>
          <w:b/>
          <w:bCs/>
          <w:noProof/>
          <w:szCs w:val="20"/>
        </w:rPr>
        <w:t>8</w:t>
      </w:r>
      <w:r w:rsidRPr="00FA2B5F">
        <w:rPr>
          <w:rFonts w:ascii="Verdana Pro" w:hAnsi="Verdana Pro" w:cs="Arial"/>
          <w:b/>
          <w:bCs/>
          <w:noProof/>
          <w:szCs w:val="20"/>
        </w:rPr>
        <w:t>:</w:t>
      </w:r>
      <w:r>
        <w:rPr>
          <w:rFonts w:ascii="Verdana Pro" w:hAnsi="Verdana Pro" w:cs="Arial"/>
          <w:b/>
          <w:bCs/>
          <w:noProof/>
          <w:szCs w:val="20"/>
        </w:rPr>
        <w:t>0</w:t>
      </w:r>
      <w:r w:rsidRPr="00FA2B5F">
        <w:rPr>
          <w:rFonts w:ascii="Verdana Pro" w:hAnsi="Verdana Pro" w:cs="Arial"/>
          <w:b/>
          <w:bCs/>
          <w:noProof/>
          <w:szCs w:val="20"/>
        </w:rPr>
        <w:t>0 Uhr</w:t>
      </w:r>
      <w:r>
        <w:rPr>
          <w:rFonts w:ascii="Verdana Pro" w:hAnsi="Verdana Pro" w:cs="Arial"/>
          <w:b/>
          <w:bCs/>
          <w:noProof/>
          <w:szCs w:val="20"/>
        </w:rPr>
        <w:t xml:space="preserve"> //</w:t>
      </w:r>
      <w:r w:rsidRPr="00FA2B5F">
        <w:rPr>
          <w:rFonts w:ascii="Verdana Pro" w:hAnsi="Verdana Pro" w:cs="Arial"/>
          <w:b/>
          <w:bCs/>
          <w:noProof/>
          <w:szCs w:val="20"/>
        </w:rPr>
        <w:t xml:space="preserve"> Begrüßung </w:t>
      </w:r>
    </w:p>
    <w:p w14:paraId="089AB699" w14:textId="77777777" w:rsidR="0072291C" w:rsidRPr="00FA2B5F" w:rsidRDefault="0072291C" w:rsidP="0072291C">
      <w:pPr>
        <w:rPr>
          <w:rFonts w:ascii="Verdana Pro" w:hAnsi="Verdana Pro" w:cs="Arial"/>
          <w:noProof/>
          <w:szCs w:val="20"/>
        </w:rPr>
      </w:pPr>
    </w:p>
    <w:p w14:paraId="325BCE6B" w14:textId="77777777" w:rsidR="0072291C" w:rsidRDefault="0072291C" w:rsidP="0072291C">
      <w:pPr>
        <w:rPr>
          <w:rFonts w:ascii="Verdana Pro" w:eastAsia="Calibri" w:hAnsi="Verdana Pro" w:cs="Calibri"/>
          <w:b/>
          <w:bCs/>
          <w:szCs w:val="20"/>
          <w:lang w:eastAsia="de-DE"/>
        </w:rPr>
      </w:pPr>
      <w:r w:rsidRPr="00FA2B5F">
        <w:rPr>
          <w:rFonts w:ascii="Verdana Pro" w:eastAsia="Calibri" w:hAnsi="Verdana Pro" w:cs="Calibri"/>
          <w:b/>
          <w:bCs/>
          <w:szCs w:val="20"/>
          <w:lang w:eastAsia="de-DE"/>
        </w:rPr>
        <w:t>1</w:t>
      </w:r>
      <w:r>
        <w:rPr>
          <w:rFonts w:ascii="Verdana Pro" w:eastAsia="Calibri" w:hAnsi="Verdana Pro" w:cs="Calibri"/>
          <w:b/>
          <w:bCs/>
          <w:szCs w:val="20"/>
          <w:lang w:eastAsia="de-DE"/>
        </w:rPr>
        <w:t>8</w:t>
      </w:r>
      <w:r w:rsidRPr="00FA2B5F">
        <w:rPr>
          <w:rFonts w:ascii="Verdana Pro" w:eastAsia="Calibri" w:hAnsi="Verdana Pro" w:cs="Calibri"/>
          <w:b/>
          <w:bCs/>
          <w:szCs w:val="20"/>
          <w:lang w:eastAsia="de-DE"/>
        </w:rPr>
        <w:t>.</w:t>
      </w:r>
      <w:r>
        <w:rPr>
          <w:rFonts w:ascii="Verdana Pro" w:eastAsia="Calibri" w:hAnsi="Verdana Pro" w:cs="Calibri"/>
          <w:b/>
          <w:bCs/>
          <w:szCs w:val="20"/>
          <w:lang w:eastAsia="de-DE"/>
        </w:rPr>
        <w:t>15</w:t>
      </w:r>
      <w:r w:rsidRPr="00FA2B5F">
        <w:rPr>
          <w:rFonts w:ascii="Verdana Pro" w:eastAsia="Calibri" w:hAnsi="Verdana Pro" w:cs="Calibri"/>
          <w:b/>
          <w:bCs/>
          <w:szCs w:val="20"/>
          <w:lang w:eastAsia="de-DE"/>
        </w:rPr>
        <w:t xml:space="preserve"> </w:t>
      </w:r>
      <w:r>
        <w:rPr>
          <w:rFonts w:ascii="Verdana Pro" w:eastAsia="Calibri" w:hAnsi="Verdana Pro" w:cs="Calibri"/>
          <w:b/>
          <w:bCs/>
          <w:szCs w:val="20"/>
          <w:lang w:eastAsia="de-DE"/>
        </w:rPr>
        <w:t>// TBS im praktischen Alltag</w:t>
      </w:r>
    </w:p>
    <w:p w14:paraId="070AB99D" w14:textId="77777777" w:rsidR="0072291C" w:rsidRPr="00F31EA9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  <w:r>
        <w:rPr>
          <w:rFonts w:ascii="Verdana Pro" w:eastAsia="Calibri" w:hAnsi="Verdana Pro" w:cs="Calibri"/>
          <w:szCs w:val="20"/>
          <w:lang w:eastAsia="de-DE"/>
        </w:rPr>
        <w:t>Dr. Paula Hoff, Charité</w:t>
      </w:r>
    </w:p>
    <w:p w14:paraId="417F6E3D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</w:p>
    <w:p w14:paraId="50B4E876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  <w:r>
        <w:rPr>
          <w:rFonts w:ascii="Verdana Pro" w:eastAsia="Calibri" w:hAnsi="Verdana Pro" w:cs="Calibri"/>
          <w:szCs w:val="20"/>
          <w:lang w:eastAsia="de-DE"/>
        </w:rPr>
        <w:t>Anschließende Diskussion</w:t>
      </w:r>
    </w:p>
    <w:p w14:paraId="4746C997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</w:p>
    <w:p w14:paraId="01B06DB7" w14:textId="77777777" w:rsidR="0072291C" w:rsidRPr="00EE0FEC" w:rsidRDefault="0072291C" w:rsidP="0072291C">
      <w:pPr>
        <w:rPr>
          <w:rFonts w:ascii="Verdana Pro" w:eastAsia="Calibri" w:hAnsi="Verdana Pro" w:cs="Calibri"/>
          <w:b/>
          <w:bCs/>
          <w:szCs w:val="20"/>
          <w:lang w:eastAsia="de-DE"/>
        </w:rPr>
      </w:pPr>
      <w:r w:rsidRPr="00EE0FEC">
        <w:rPr>
          <w:rFonts w:ascii="Verdana Pro" w:eastAsia="Calibri" w:hAnsi="Verdana Pro" w:cs="Calibri"/>
          <w:b/>
          <w:bCs/>
          <w:szCs w:val="20"/>
          <w:lang w:eastAsia="de-DE"/>
        </w:rPr>
        <w:t>Pause</w:t>
      </w:r>
    </w:p>
    <w:p w14:paraId="686DC05F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</w:p>
    <w:p w14:paraId="5579F3E0" w14:textId="77777777" w:rsidR="0072291C" w:rsidRPr="00BD6497" w:rsidRDefault="0072291C" w:rsidP="0072291C">
      <w:pPr>
        <w:rPr>
          <w:rFonts w:ascii="Verdana Pro" w:eastAsia="Calibri" w:hAnsi="Verdana Pro" w:cs="Calibri"/>
          <w:b/>
          <w:bCs/>
          <w:szCs w:val="20"/>
          <w:lang w:eastAsia="de-DE"/>
        </w:rPr>
      </w:pPr>
      <w:r w:rsidRPr="00FA2B5F">
        <w:rPr>
          <w:rFonts w:ascii="Verdana Pro" w:eastAsia="Calibri" w:hAnsi="Verdana Pro" w:cs="Calibri"/>
          <w:b/>
          <w:bCs/>
          <w:szCs w:val="20"/>
          <w:lang w:eastAsia="de-DE"/>
        </w:rPr>
        <w:t>1</w:t>
      </w:r>
      <w:r>
        <w:rPr>
          <w:rFonts w:ascii="Verdana Pro" w:eastAsia="Calibri" w:hAnsi="Verdana Pro" w:cs="Calibri"/>
          <w:b/>
          <w:bCs/>
          <w:szCs w:val="20"/>
          <w:lang w:eastAsia="de-DE"/>
        </w:rPr>
        <w:t>9:15</w:t>
      </w:r>
      <w:r w:rsidRPr="00FA2B5F">
        <w:rPr>
          <w:rFonts w:ascii="Verdana Pro" w:eastAsia="Calibri" w:hAnsi="Verdana Pro" w:cs="Calibri"/>
          <w:b/>
          <w:bCs/>
          <w:szCs w:val="20"/>
          <w:lang w:eastAsia="de-DE"/>
        </w:rPr>
        <w:tab/>
      </w:r>
      <w:r>
        <w:rPr>
          <w:rFonts w:ascii="Verdana Pro" w:eastAsia="Calibri" w:hAnsi="Verdana Pro" w:cs="Calibri"/>
          <w:b/>
          <w:bCs/>
          <w:szCs w:val="20"/>
          <w:lang w:eastAsia="de-DE"/>
        </w:rPr>
        <w:t>// Sequenztherapie im Rahmen der neuen Leitlinien</w:t>
      </w:r>
    </w:p>
    <w:p w14:paraId="428DB06A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  <w:r>
        <w:rPr>
          <w:rFonts w:ascii="Verdana Pro" w:eastAsia="Calibri" w:hAnsi="Verdana Pro" w:cs="Calibri"/>
          <w:szCs w:val="20"/>
          <w:lang w:eastAsia="de-DE"/>
        </w:rPr>
        <w:t>Rationale Therapie in der Praxis</w:t>
      </w:r>
    </w:p>
    <w:p w14:paraId="50B5BCC1" w14:textId="77777777" w:rsidR="0072291C" w:rsidRPr="00FA2B5F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  <w:r>
        <w:rPr>
          <w:rFonts w:ascii="Verdana Pro" w:eastAsia="Calibri" w:hAnsi="Verdana Pro" w:cs="Calibri"/>
          <w:szCs w:val="20"/>
          <w:lang w:eastAsia="de-DE"/>
        </w:rPr>
        <w:t>Dr. Lothar Seefried, Würzburg</w:t>
      </w:r>
    </w:p>
    <w:p w14:paraId="671727AE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</w:p>
    <w:p w14:paraId="7E5A29CE" w14:textId="77777777" w:rsidR="0072291C" w:rsidRDefault="0072291C" w:rsidP="0072291C">
      <w:pPr>
        <w:rPr>
          <w:rFonts w:ascii="Verdana Pro" w:eastAsia="Calibri" w:hAnsi="Verdana Pro" w:cs="Calibri"/>
          <w:szCs w:val="20"/>
          <w:lang w:eastAsia="de-DE"/>
        </w:rPr>
      </w:pPr>
      <w:r>
        <w:rPr>
          <w:rFonts w:ascii="Verdana Pro" w:eastAsia="Calibri" w:hAnsi="Verdana Pro" w:cs="Calibri"/>
          <w:szCs w:val="20"/>
          <w:lang w:eastAsia="de-DE"/>
        </w:rPr>
        <w:t>Anschließende Diskussion</w:t>
      </w:r>
    </w:p>
    <w:p w14:paraId="6402BDBE" w14:textId="77777777" w:rsidR="0072291C" w:rsidRPr="00FA2B5F" w:rsidRDefault="0072291C" w:rsidP="0072291C">
      <w:pPr>
        <w:rPr>
          <w:rFonts w:ascii="Verdana Pro" w:hAnsi="Verdana Pro" w:cs="Arial"/>
          <w:noProof/>
          <w:szCs w:val="20"/>
        </w:rPr>
      </w:pPr>
    </w:p>
    <w:p w14:paraId="5836103E" w14:textId="77777777" w:rsidR="0072291C" w:rsidRPr="00FA2B5F" w:rsidRDefault="0072291C" w:rsidP="0072291C">
      <w:pPr>
        <w:rPr>
          <w:rFonts w:ascii="Verdana Pro" w:hAnsi="Verdana Pro" w:cs="Arial"/>
          <w:b/>
          <w:bCs/>
          <w:noProof/>
          <w:szCs w:val="20"/>
        </w:rPr>
      </w:pPr>
      <w:r w:rsidRPr="00FA2B5F">
        <w:rPr>
          <w:rFonts w:ascii="Verdana Pro" w:hAnsi="Verdana Pro" w:cs="Arial"/>
          <w:b/>
          <w:bCs/>
          <w:noProof/>
          <w:szCs w:val="20"/>
        </w:rPr>
        <w:t>ab 20:</w:t>
      </w:r>
      <w:r>
        <w:rPr>
          <w:rFonts w:ascii="Verdana Pro" w:hAnsi="Verdana Pro" w:cs="Arial"/>
          <w:b/>
          <w:bCs/>
          <w:noProof/>
          <w:szCs w:val="20"/>
        </w:rPr>
        <w:t>3</w:t>
      </w:r>
      <w:r w:rsidRPr="00FA2B5F">
        <w:rPr>
          <w:rFonts w:ascii="Verdana Pro" w:hAnsi="Verdana Pro" w:cs="Arial"/>
          <w:b/>
          <w:bCs/>
          <w:noProof/>
          <w:szCs w:val="20"/>
        </w:rPr>
        <w:t xml:space="preserve">0Uhr </w:t>
      </w:r>
      <w:r>
        <w:rPr>
          <w:rFonts w:ascii="Verdana Pro" w:hAnsi="Verdana Pro" w:cs="Arial"/>
          <w:b/>
          <w:bCs/>
          <w:noProof/>
          <w:szCs w:val="20"/>
        </w:rPr>
        <w:t xml:space="preserve">// </w:t>
      </w:r>
      <w:r w:rsidRPr="00FA2B5F">
        <w:rPr>
          <w:rFonts w:ascii="Verdana Pro" w:hAnsi="Verdana Pro" w:cs="Arial"/>
          <w:b/>
          <w:bCs/>
          <w:noProof/>
          <w:szCs w:val="20"/>
        </w:rPr>
        <w:t xml:space="preserve">Gemeinsames Beisammensein </w:t>
      </w:r>
    </w:p>
    <w:p w14:paraId="2D19FBC8" w14:textId="77777777" w:rsidR="0072291C" w:rsidRDefault="0072291C" w:rsidP="0072291C">
      <w:pPr>
        <w:rPr>
          <w:rFonts w:ascii="Verdana Pro" w:hAnsi="Verdana Pro" w:cs="Arial"/>
          <w:noProof/>
          <w:szCs w:val="20"/>
        </w:rPr>
      </w:pPr>
      <w:r w:rsidRPr="00FA2B5F">
        <w:rPr>
          <w:rFonts w:ascii="Verdana Pro" w:hAnsi="Verdana Pro" w:cs="Arial"/>
          <w:noProof/>
          <w:szCs w:val="20"/>
        </w:rPr>
        <w:t>im Garten der Hessischen Landesvertretung</w:t>
      </w:r>
    </w:p>
    <w:p w14:paraId="58DCF8A7" w14:textId="77777777" w:rsidR="0072291C" w:rsidRDefault="0072291C" w:rsidP="0072291C"/>
    <w:p w14:paraId="303C0612" w14:textId="77777777" w:rsidR="0072291C" w:rsidRDefault="0072291C" w:rsidP="0072291C"/>
    <w:p w14:paraId="09C1AD7E" w14:textId="77777777" w:rsidR="0072291C" w:rsidRDefault="0072291C" w:rsidP="0072291C">
      <w:r>
        <w:t>MfG</w:t>
      </w:r>
    </w:p>
    <w:p w14:paraId="66298327" w14:textId="77777777" w:rsidR="0072291C" w:rsidRDefault="0072291C" w:rsidP="0072291C"/>
    <w:p w14:paraId="61995AD7" w14:textId="05906C90" w:rsidR="0072291C" w:rsidRDefault="002342B3" w:rsidP="0072291C">
      <w:r>
        <w:t>Dr. Hans- Detlef Dewitz</w:t>
      </w:r>
    </w:p>
    <w:p w14:paraId="533EC49E" w14:textId="7B42E816" w:rsidR="0072291C" w:rsidRDefault="0072291C" w:rsidP="0072291C">
      <w:r>
        <w:t>Vorsitzende</w:t>
      </w:r>
      <w:r w:rsidR="002342B3">
        <w:t>r Kompetenznetz Osteoporose e.V.</w:t>
      </w:r>
    </w:p>
    <w:p w14:paraId="2015341E" w14:textId="0A7B52B2" w:rsidR="002342B3" w:rsidRDefault="002342B3" w:rsidP="0072291C">
      <w:r>
        <w:t>Bundesallee 48b</w:t>
      </w:r>
    </w:p>
    <w:p w14:paraId="4498DD47" w14:textId="28AA34D7" w:rsidR="002342B3" w:rsidRPr="001162E0" w:rsidRDefault="002342B3" w:rsidP="0072291C">
      <w:r>
        <w:t>10715 Berlin</w:t>
      </w:r>
    </w:p>
    <w:sectPr w:rsidR="002342B3" w:rsidRPr="00116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BF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737CAC"/>
    <w:multiLevelType w:val="hybridMultilevel"/>
    <w:tmpl w:val="7A5C7AF6"/>
    <w:lvl w:ilvl="0" w:tplc="AC64F0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38D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6279524">
    <w:abstractNumId w:val="2"/>
  </w:num>
  <w:num w:numId="2" w16cid:durableId="1913807046">
    <w:abstractNumId w:val="0"/>
  </w:num>
  <w:num w:numId="3" w16cid:durableId="1608082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0F"/>
    <w:rsid w:val="00032E76"/>
    <w:rsid w:val="00066003"/>
    <w:rsid w:val="001162E0"/>
    <w:rsid w:val="001D6A83"/>
    <w:rsid w:val="002342B3"/>
    <w:rsid w:val="00527202"/>
    <w:rsid w:val="006365C2"/>
    <w:rsid w:val="00686366"/>
    <w:rsid w:val="0072291C"/>
    <w:rsid w:val="007B12F1"/>
    <w:rsid w:val="008E37C2"/>
    <w:rsid w:val="009F0164"/>
    <w:rsid w:val="00A05FE5"/>
    <w:rsid w:val="00A7100A"/>
    <w:rsid w:val="00B34494"/>
    <w:rsid w:val="00BA1BD6"/>
    <w:rsid w:val="00CC000B"/>
    <w:rsid w:val="00E1039B"/>
    <w:rsid w:val="00E24C0F"/>
    <w:rsid w:val="00F26BA4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6E34"/>
  <w15:chartTrackingRefBased/>
  <w15:docId w15:val="{E56B3A7D-9993-411E-8632-FB6B46BB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2F1"/>
    <w:pPr>
      <w:spacing w:after="0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12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12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B12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449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B1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7B12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66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12F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12F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12F1"/>
    <w:rPr>
      <w:rFonts w:asciiTheme="majorHAnsi" w:eastAsiaTheme="majorEastAsia" w:hAnsiTheme="majorHAnsi" w:cstheme="majorBidi"/>
      <w:b/>
      <w:color w:val="002449" w:themeColor="accent1" w:themeShade="7F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12F1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7B12F1"/>
    <w:rPr>
      <w:rFonts w:asciiTheme="majorHAnsi" w:eastAsiaTheme="majorEastAsia" w:hAnsiTheme="majorHAnsi" w:cstheme="majorBidi"/>
      <w:color w:val="00366E" w:themeColor="accent1" w:themeShade="BF"/>
      <w:sz w:val="20"/>
    </w:rPr>
  </w:style>
  <w:style w:type="paragraph" w:styleId="Listenabsatz">
    <w:name w:val="List Paragraph"/>
    <w:basedOn w:val="Standard"/>
    <w:uiPriority w:val="99"/>
    <w:semiHidden/>
    <w:qFormat/>
    <w:rsid w:val="007B12F1"/>
    <w:pPr>
      <w:ind w:left="720"/>
      <w:contextualSpacing/>
    </w:pPr>
  </w:style>
  <w:style w:type="table" w:styleId="Tabellenraster">
    <w:name w:val="Table Grid"/>
    <w:aliases w:val="BGK Tabelle"/>
    <w:basedOn w:val="NormaleTabelle"/>
    <w:uiPriority w:val="39"/>
    <w:rsid w:val="00FF4DD0"/>
    <w:pPr>
      <w:spacing w:after="0" w:line="240" w:lineRule="auto"/>
    </w:pPr>
    <w:tblPr>
      <w:tblStyleRowBandSize w:val="1"/>
      <w:tblBorders>
        <w:top w:val="single" w:sz="4" w:space="0" w:color="696969" w:themeColor="background2"/>
        <w:left w:val="single" w:sz="4" w:space="0" w:color="696969" w:themeColor="background2"/>
        <w:bottom w:val="single" w:sz="4" w:space="0" w:color="696969" w:themeColor="background2"/>
        <w:right w:val="single" w:sz="4" w:space="0" w:color="696969" w:themeColor="background2"/>
        <w:insideH w:val="single" w:sz="4" w:space="0" w:color="696969" w:themeColor="background2"/>
        <w:insideV w:val="single" w:sz="4" w:space="0" w:color="696969" w:themeColor="background2"/>
      </w:tblBorders>
      <w:tblCellMar>
        <w:top w:w="28" w:type="dxa"/>
        <w:bottom w:w="28" w:type="dxa"/>
      </w:tblCellMar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004994" w:themeFill="accent1"/>
        <w:vAlign w:val="center"/>
      </w:tcPr>
    </w:tblStylePr>
    <w:tblStylePr w:type="lastRow">
      <w:pPr>
        <w:jc w:val="left"/>
      </w:pPr>
      <w:rPr>
        <w:b w:val="0"/>
      </w:rPr>
      <w:tblPr/>
      <w:tcPr>
        <w:shd w:val="clear" w:color="auto" w:fill="E1E1E1" w:themeFill="background2" w:themeFillTint="33"/>
      </w:tcPr>
    </w:tblStylePr>
    <w:tblStylePr w:type="firstCol">
      <w:rPr>
        <w:b/>
      </w:rPr>
    </w:tblStylePr>
    <w:tblStylePr w:type="lastCol">
      <w:tblPr/>
      <w:tcPr>
        <w:shd w:val="clear" w:color="auto" w:fill="E1E1E1" w:themeFill="background2" w:themeFillTint="33"/>
      </w:tcPr>
    </w:tblStylePr>
    <w:tblStylePr w:type="band1Horz">
      <w:pPr>
        <w:jc w:val="left"/>
      </w:pPr>
      <w:tblPr/>
      <w:tcPr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table" w:customStyle="1" w:styleId="TabelleOHNERahmen">
    <w:name w:val="Tabelle OHNE Rahmen"/>
    <w:basedOn w:val="NormaleTabelle"/>
    <w:uiPriority w:val="99"/>
    <w:rsid w:val="00A05FE5"/>
    <w:pPr>
      <w:spacing w:after="0" w:line="240" w:lineRule="auto"/>
    </w:pPr>
    <w:tblPr>
      <w:tblCellMar>
        <w:top w:w="28" w:type="dxa"/>
        <w:left w:w="0" w:type="dxa"/>
        <w:bottom w:w="28" w:type="dxa"/>
        <w:right w:w="0" w:type="dxa"/>
      </w:tblCellMar>
    </w:tblPr>
  </w:style>
  <w:style w:type="table" w:styleId="TabellemithellemGitternetz">
    <w:name w:val="Grid Table Light"/>
    <w:basedOn w:val="NormaleTabelle"/>
    <w:uiPriority w:val="40"/>
    <w:rsid w:val="00A05F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GK Design">
  <a:themeElements>
    <a:clrScheme name="DGUV_Farben bunt">
      <a:dk1>
        <a:srgbClr val="555555"/>
      </a:dk1>
      <a:lt1>
        <a:srgbClr val="FFFFFF"/>
      </a:lt1>
      <a:dk2>
        <a:srgbClr val="81BD57"/>
      </a:dk2>
      <a:lt2>
        <a:srgbClr val="696969"/>
      </a:lt2>
      <a:accent1>
        <a:srgbClr val="004994"/>
      </a:accent1>
      <a:accent2>
        <a:srgbClr val="19A0A3"/>
      </a:accent2>
      <a:accent3>
        <a:srgbClr val="0095DB"/>
      </a:accent3>
      <a:accent4>
        <a:srgbClr val="C44E90"/>
      </a:accent4>
      <a:accent5>
        <a:srgbClr val="F7A940"/>
      </a:accent5>
      <a:accent6>
        <a:srgbClr val="FFD543"/>
      </a:accent6>
      <a:hlink>
        <a:srgbClr val="0095DB"/>
      </a:hlink>
      <a:folHlink>
        <a:srgbClr val="51AE30"/>
      </a:folHlink>
    </a:clrScheme>
    <a:fontScheme name="BGK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GK Gelb 1">
      <a:srgbClr val="FFCC00"/>
    </a:custClr>
    <a:custClr name="BGK Gelb 2">
      <a:srgbClr val="FFD543"/>
    </a:custClr>
    <a:custClr name="BGK Gelb 3">
      <a:srgbClr val="FFDF7D"/>
    </a:custClr>
    <a:custClr name="BGK Gelb 4">
      <a:srgbClr val="FFEAAD"/>
    </a:custClr>
    <a:custClr name="BGK Gelb 5">
      <a:srgbClr val="FFF5D8"/>
    </a:custClr>
    <a:custClr name="BGK Orange 1">
      <a:srgbClr val="F39200"/>
    </a:custClr>
    <a:custClr name="BGK Orange 2">
      <a:srgbClr val="F7A940"/>
    </a:custClr>
    <a:custClr name="BGK Orange 3">
      <a:srgbClr val="FABF75"/>
    </a:custClr>
    <a:custClr name="BGK Orange 4">
      <a:srgbClr val="FDD5A5"/>
    </a:custClr>
    <a:custClr name="BGK Orange 5">
      <a:srgbClr val="FEEAD3"/>
    </a:custClr>
    <a:custClr name="BGK Rot 1">
      <a:srgbClr val="D40F14"/>
    </a:custClr>
    <a:custClr name="BGK Rot 2">
      <a:srgbClr val="DD4E36"/>
    </a:custClr>
    <a:custClr name="BGK Rot 3">
      <a:srgbClr val="E77F62"/>
    </a:custClr>
    <a:custClr name="BGK Rot 4">
      <a:srgbClr val="EFAD94"/>
    </a:custClr>
    <a:custClr name="BGK Rot 5">
      <a:srgbClr val="F8D8CA"/>
    </a:custClr>
    <a:custClr name="BGK Violett 1">
      <a:srgbClr val="B80D78"/>
    </a:custClr>
    <a:custClr name="BGK Violett 2">
      <a:srgbClr val="C44E90"/>
    </a:custClr>
    <a:custClr name="BGK Violett 3">
      <a:srgbClr val="D180AE"/>
    </a:custClr>
    <a:custClr name="BGK Violett 4">
      <a:srgbClr val="DFADCB"/>
    </a:custClr>
    <a:custClr name="BGK Violett 5">
      <a:srgbClr val="EFD7E7"/>
    </a:custClr>
    <a:custClr name="BGK Hellgruen 1">
      <a:srgbClr val="AFCA06"/>
    </a:custClr>
    <a:custClr name="BGK Hellgruen 2">
      <a:srgbClr val="C1D450"/>
    </a:custClr>
    <a:custClr name="BGK Hellgruen 3">
      <a:srgbClr val="D3DF83"/>
    </a:custClr>
    <a:custClr name="BGK Hellgruen 4">
      <a:srgbClr val="E1E9B1"/>
    </a:custClr>
    <a:custClr name="BGK Hellgruen 5">
      <a:srgbClr val="F1F4DA"/>
    </a:custClr>
    <a:custClr name="BGK Gruen 1">
      <a:srgbClr val="51AE31"/>
    </a:custClr>
    <a:custClr name="BGK Gruen 2">
      <a:srgbClr val="81BD57"/>
    </a:custClr>
    <a:custClr name="BGK Gruen 3">
      <a:srgbClr val="A6CE84"/>
    </a:custClr>
    <a:custClr name="BGK Gruen 4">
      <a:srgbClr val="C7DFB0"/>
    </a:custClr>
    <a:custClr name="BGK Gruen 5">
      <a:srgbClr val="E3EFD9"/>
    </a:custClr>
    <a:custClr name="BGK Tuerkis 1">
      <a:srgbClr val="008C8E"/>
    </a:custClr>
    <a:custClr name="BGK Tuerkis 2">
      <a:srgbClr val="19A0A3"/>
    </a:custClr>
    <a:custClr name="BGK Tuerkis 3">
      <a:srgbClr val="6FB7B9"/>
    </a:custClr>
    <a:custClr name="BGK Tuerkis 4">
      <a:srgbClr val="A5CFD1"/>
    </a:custClr>
    <a:custClr name="BGK Tuerkis 5">
      <a:srgbClr val="D3E7E9"/>
    </a:custClr>
    <a:custClr name="BGK Cyan 1">
      <a:srgbClr val="0095DB"/>
    </a:custClr>
    <a:custClr name="BGK Cyan 2">
      <a:srgbClr val="00A8E4"/>
    </a:custClr>
    <a:custClr name="BGK Cyan 3">
      <a:srgbClr val="5FBEED"/>
    </a:custClr>
    <a:custClr name="BGK Cyan 4">
      <a:srgbClr val="A1D4F4"/>
    </a:custClr>
    <a:custClr name="BGK Cyan 5">
      <a:srgbClr val="D4EAFA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Andrea</dc:creator>
  <cp:keywords/>
  <dc:description/>
  <cp:lastModifiedBy>Px Dewitz</cp:lastModifiedBy>
  <cp:revision>2</cp:revision>
  <dcterms:created xsi:type="dcterms:W3CDTF">2023-12-11T11:20:00Z</dcterms:created>
  <dcterms:modified xsi:type="dcterms:W3CDTF">2023-12-11T11:20:00Z</dcterms:modified>
</cp:coreProperties>
</file>